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B3" w:rsidRDefault="00194BB3" w:rsidP="00334606">
      <w:pPr>
        <w:spacing w:line="240" w:lineRule="auto"/>
        <w:ind w:left="-284"/>
        <w:rPr>
          <w:b/>
          <w:color w:val="000000"/>
          <w:sz w:val="24"/>
          <w:szCs w:val="24"/>
        </w:rPr>
      </w:pPr>
      <w:r>
        <w:rPr>
          <w:noProof/>
          <w:lang w:val="ru-RU"/>
        </w:rPr>
        <w:drawing>
          <wp:inline distT="0" distB="0" distL="0" distR="0" wp14:anchorId="7E436FA5" wp14:editId="7C1F0AE4">
            <wp:extent cx="1524000" cy="514350"/>
            <wp:effectExtent l="0" t="0" r="0" b="0"/>
            <wp:docPr id="1" name="image1.png" descr="! Small SBER_LOGO_RUS"/>
            <wp:cNvGraphicFramePr/>
            <a:graphic xmlns:a="http://schemas.openxmlformats.org/drawingml/2006/main">
              <a:graphicData uri="http://schemas.openxmlformats.org/drawingml/2006/picture">
                <pic:pic xmlns:pic="http://schemas.openxmlformats.org/drawingml/2006/picture">
                  <pic:nvPicPr>
                    <pic:cNvPr id="0" name="image1.png" descr="! Small SBER_LOGO_RUS"/>
                    <pic:cNvPicPr preferRelativeResize="0"/>
                  </pic:nvPicPr>
                  <pic:blipFill>
                    <a:blip r:embed="rId7"/>
                    <a:srcRect/>
                    <a:stretch>
                      <a:fillRect/>
                    </a:stretch>
                  </pic:blipFill>
                  <pic:spPr>
                    <a:xfrm>
                      <a:off x="0" y="0"/>
                      <a:ext cx="1524000" cy="514350"/>
                    </a:xfrm>
                    <a:prstGeom prst="rect">
                      <a:avLst/>
                    </a:prstGeom>
                    <a:ln/>
                  </pic:spPr>
                </pic:pic>
              </a:graphicData>
            </a:graphic>
          </wp:inline>
        </w:drawing>
      </w:r>
    </w:p>
    <w:p w:rsidR="00300EDD" w:rsidRDefault="00300EDD" w:rsidP="00334606">
      <w:pPr>
        <w:spacing w:after="200" w:line="240" w:lineRule="auto"/>
        <w:jc w:val="both"/>
        <w:rPr>
          <w:b/>
          <w:sz w:val="24"/>
          <w:szCs w:val="24"/>
          <w:lang w:val="ru-RU"/>
        </w:rPr>
      </w:pPr>
    </w:p>
    <w:p w:rsidR="0073376C" w:rsidRDefault="00300EDD" w:rsidP="00334606">
      <w:pPr>
        <w:spacing w:after="200" w:line="240" w:lineRule="auto"/>
        <w:jc w:val="both"/>
      </w:pPr>
      <w:r>
        <w:rPr>
          <w:b/>
          <w:sz w:val="24"/>
          <w:szCs w:val="24"/>
          <w:lang w:val="ru-RU"/>
        </w:rPr>
        <w:t>В Сбере самой востребованной льготной ипотечной программой в 2022 году стала п</w:t>
      </w:r>
      <w:r w:rsidR="00B34474" w:rsidRPr="00B34474">
        <w:rPr>
          <w:b/>
          <w:sz w:val="24"/>
          <w:szCs w:val="24"/>
          <w:lang w:val="ru-RU"/>
        </w:rPr>
        <w:t>рограмм</w:t>
      </w:r>
      <w:r>
        <w:rPr>
          <w:b/>
          <w:sz w:val="24"/>
          <w:szCs w:val="24"/>
          <w:lang w:val="ru-RU"/>
        </w:rPr>
        <w:t>а</w:t>
      </w:r>
      <w:r w:rsidR="00B34474" w:rsidRPr="00B34474">
        <w:rPr>
          <w:b/>
          <w:sz w:val="24"/>
          <w:szCs w:val="24"/>
          <w:lang w:val="ru-RU"/>
        </w:rPr>
        <w:t xml:space="preserve"> «</w:t>
      </w:r>
      <w:r w:rsidR="00E13C72">
        <w:rPr>
          <w:b/>
          <w:sz w:val="24"/>
          <w:szCs w:val="24"/>
          <w:lang w:val="ru-RU"/>
        </w:rPr>
        <w:t>Г</w:t>
      </w:r>
      <w:r w:rsidR="00B34474" w:rsidRPr="00B34474">
        <w:rPr>
          <w:b/>
          <w:sz w:val="24"/>
          <w:szCs w:val="24"/>
          <w:lang w:val="ru-RU"/>
        </w:rPr>
        <w:t>осподдержка»</w:t>
      </w:r>
    </w:p>
    <w:p w:rsidR="00956470" w:rsidRDefault="00970408" w:rsidP="00334606">
      <w:pPr>
        <w:spacing w:after="200" w:line="240" w:lineRule="auto"/>
        <w:jc w:val="both"/>
        <w:rPr>
          <w:i/>
          <w:color w:val="000000"/>
          <w:szCs w:val="24"/>
        </w:rPr>
      </w:pPr>
      <w:r w:rsidRPr="00334606">
        <w:rPr>
          <w:i/>
          <w:color w:val="000000"/>
          <w:szCs w:val="24"/>
          <w:lang w:val="ru-RU"/>
        </w:rPr>
        <w:t>1</w:t>
      </w:r>
      <w:r w:rsidR="00C57EA0">
        <w:rPr>
          <w:i/>
          <w:color w:val="000000"/>
          <w:szCs w:val="24"/>
          <w:lang w:val="ru-RU"/>
        </w:rPr>
        <w:t>4</w:t>
      </w:r>
      <w:r w:rsidRPr="00334606">
        <w:rPr>
          <w:i/>
          <w:color w:val="000000"/>
          <w:szCs w:val="24"/>
        </w:rPr>
        <w:t xml:space="preserve"> </w:t>
      </w:r>
      <w:r w:rsidRPr="00334606">
        <w:rPr>
          <w:i/>
          <w:color w:val="000000"/>
          <w:szCs w:val="24"/>
          <w:lang w:val="ru-RU"/>
        </w:rPr>
        <w:t>декабря</w:t>
      </w:r>
      <w:r w:rsidRPr="00334606">
        <w:rPr>
          <w:i/>
          <w:color w:val="000000"/>
          <w:szCs w:val="24"/>
        </w:rPr>
        <w:t xml:space="preserve"> 2022 года,</w:t>
      </w:r>
      <w:r w:rsidRPr="00334606">
        <w:rPr>
          <w:i/>
          <w:color w:val="000000"/>
          <w:szCs w:val="24"/>
          <w:lang w:val="ru-RU"/>
        </w:rPr>
        <w:t xml:space="preserve"> </w:t>
      </w:r>
      <w:r w:rsidRPr="00334606">
        <w:rPr>
          <w:i/>
          <w:color w:val="000000"/>
          <w:szCs w:val="24"/>
        </w:rPr>
        <w:t>Москва</w:t>
      </w:r>
    </w:p>
    <w:p w:rsidR="00436A8D" w:rsidRDefault="00E108D9" w:rsidP="002704C1">
      <w:pPr>
        <w:spacing w:line="240" w:lineRule="auto"/>
        <w:jc w:val="both"/>
        <w:rPr>
          <w:iCs/>
          <w:color w:val="000000"/>
          <w:sz w:val="24"/>
          <w:szCs w:val="28"/>
          <w:lang w:val="ru-RU"/>
        </w:rPr>
      </w:pPr>
      <w:bookmarkStart w:id="0" w:name="_GoBack"/>
      <w:r w:rsidRPr="00E108D9">
        <w:rPr>
          <w:iCs/>
          <w:color w:val="000000"/>
          <w:sz w:val="24"/>
          <w:szCs w:val="28"/>
          <w:lang w:val="ru-RU"/>
        </w:rPr>
        <w:t>Аналитики Домклик посчитали число ипотечных сделок Сбер</w:t>
      </w:r>
      <w:r w:rsidR="00956470">
        <w:rPr>
          <w:iCs/>
          <w:color w:val="000000"/>
          <w:sz w:val="24"/>
          <w:szCs w:val="28"/>
          <w:lang w:val="ru-RU"/>
        </w:rPr>
        <w:t>а</w:t>
      </w:r>
      <w:r w:rsidRPr="00E108D9">
        <w:rPr>
          <w:iCs/>
          <w:color w:val="000000"/>
          <w:sz w:val="24"/>
          <w:szCs w:val="28"/>
          <w:lang w:val="ru-RU"/>
        </w:rPr>
        <w:t xml:space="preserve"> с января по ноябрь 2022 года и выяснили, какие программы льготной ипотеки в </w:t>
      </w:r>
      <w:r w:rsidR="002704C1">
        <w:rPr>
          <w:iCs/>
          <w:color w:val="000000"/>
          <w:sz w:val="24"/>
          <w:szCs w:val="28"/>
          <w:lang w:val="ru-RU"/>
        </w:rPr>
        <w:t>этом</w:t>
      </w:r>
      <w:r w:rsidRPr="00E108D9">
        <w:rPr>
          <w:iCs/>
          <w:color w:val="000000"/>
          <w:sz w:val="24"/>
          <w:szCs w:val="28"/>
          <w:lang w:val="ru-RU"/>
        </w:rPr>
        <w:t xml:space="preserve"> году пользовались наибольшей популярностью у россиян. Самой востребованной стала программа «</w:t>
      </w:r>
      <w:hyperlink r:id="rId8" w:history="1">
        <w:r w:rsidRPr="00E108D9">
          <w:rPr>
            <w:rStyle w:val="aa"/>
            <w:iCs/>
            <w:color w:val="00B050"/>
            <w:sz w:val="24"/>
            <w:szCs w:val="28"/>
            <w:lang w:val="ru-RU"/>
          </w:rPr>
          <w:t>Господдержка</w:t>
        </w:r>
      </w:hyperlink>
      <w:r w:rsidRPr="00E108D9">
        <w:rPr>
          <w:iCs/>
          <w:color w:val="000000"/>
          <w:sz w:val="24"/>
          <w:szCs w:val="28"/>
          <w:lang w:val="ru-RU"/>
        </w:rPr>
        <w:t>» *, которая позволяет купить или построить новое жильё по ставке от 6,3%.</w:t>
      </w:r>
    </w:p>
    <w:bookmarkEnd w:id="0"/>
    <w:p w:rsidR="002704C1" w:rsidRDefault="002704C1" w:rsidP="002704C1">
      <w:pPr>
        <w:spacing w:line="240" w:lineRule="auto"/>
        <w:jc w:val="both"/>
        <w:rPr>
          <w:iCs/>
          <w:color w:val="000000"/>
          <w:sz w:val="24"/>
          <w:szCs w:val="28"/>
          <w:lang w:val="ru-RU"/>
        </w:rPr>
      </w:pPr>
    </w:p>
    <w:p w:rsidR="00E108D9" w:rsidRPr="00626E8E" w:rsidRDefault="00956470" w:rsidP="00626E8E">
      <w:pPr>
        <w:spacing w:after="200" w:line="240" w:lineRule="auto"/>
        <w:jc w:val="both"/>
        <w:rPr>
          <w:iCs/>
          <w:color w:val="000000"/>
          <w:sz w:val="24"/>
          <w:szCs w:val="28"/>
          <w:lang w:val="ru-RU"/>
        </w:rPr>
      </w:pPr>
      <w:r>
        <w:rPr>
          <w:iCs/>
          <w:noProof/>
          <w:color w:val="000000"/>
          <w:sz w:val="24"/>
          <w:szCs w:val="28"/>
          <w:lang w:val="ru-RU"/>
        </w:rPr>
        <w:drawing>
          <wp:inline distT="0" distB="0" distL="0" distR="0" wp14:anchorId="478B06BE" wp14:editId="35D2156A">
            <wp:extent cx="5733415" cy="3711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5733415" cy="3711575"/>
                    </a:xfrm>
                    <a:prstGeom prst="rect">
                      <a:avLst/>
                    </a:prstGeom>
                  </pic:spPr>
                </pic:pic>
              </a:graphicData>
            </a:graphic>
          </wp:inline>
        </w:drawing>
      </w:r>
    </w:p>
    <w:p w:rsidR="00E108D9" w:rsidRPr="00E108D9" w:rsidRDefault="00E108D9" w:rsidP="00E108D9">
      <w:pPr>
        <w:spacing w:line="240" w:lineRule="auto"/>
        <w:jc w:val="both"/>
        <w:rPr>
          <w:rFonts w:eastAsia="Times New Roman"/>
          <w:sz w:val="20"/>
          <w:szCs w:val="20"/>
          <w:lang w:val="ru-RU"/>
        </w:rPr>
      </w:pPr>
      <w:r w:rsidRPr="00E108D9">
        <w:rPr>
          <w:rFonts w:eastAsia="Times New Roman"/>
          <w:sz w:val="20"/>
          <w:szCs w:val="20"/>
          <w:lang w:val="ru-RU"/>
        </w:rPr>
        <w:t>Динамика количества выдач по льготным программам по РФ за период январь–ноябрь 2022. Суммарная доля по всем программам относительно общего количества выдач за месяц показана красным, доля выдач по программе «Господдержка» показана зеленым, «Семейная ипотека» — голубым, IT-ипотека — фиолетовым, «Дальневосточная ипотека» — желтым, «Сельская ипотека» — сиреневым.</w:t>
      </w:r>
    </w:p>
    <w:p w:rsidR="00E108D9" w:rsidRPr="00E108D9" w:rsidRDefault="00E108D9" w:rsidP="00E108D9">
      <w:pPr>
        <w:pStyle w:val="af"/>
        <w:shd w:val="clear" w:color="auto" w:fill="FFFFFF"/>
        <w:jc w:val="both"/>
        <w:rPr>
          <w:rFonts w:ascii="Arial" w:hAnsi="Arial" w:cs="Arial"/>
          <w:color w:val="242629"/>
        </w:rPr>
      </w:pPr>
      <w:r w:rsidRPr="00E108D9">
        <w:rPr>
          <w:rFonts w:ascii="Arial" w:hAnsi="Arial" w:cs="Arial"/>
          <w:color w:val="242629"/>
        </w:rPr>
        <w:t>Первое полугодие</w:t>
      </w:r>
      <w:r w:rsidR="002704C1">
        <w:rPr>
          <w:rStyle w:val="af0"/>
          <w:rFonts w:ascii="Arial" w:hAnsi="Arial" w:cs="Arial"/>
          <w:b w:val="0"/>
          <w:bCs w:val="0"/>
          <w:color w:val="242629"/>
        </w:rPr>
        <w:t xml:space="preserve"> </w:t>
      </w:r>
      <w:r w:rsidRPr="00E108D9">
        <w:rPr>
          <w:rFonts w:ascii="Arial" w:hAnsi="Arial" w:cs="Arial"/>
          <w:color w:val="242629"/>
        </w:rPr>
        <w:t xml:space="preserve">2022 года показало, что в период экономической турбулентности льготное ипотечное кредитование выходит на передний план и становится ключевой мерой поддержки для всех игроков российского рынка недвижимости. Так, в феврале–марте, когда на фоне резкого увеличения ключевой ставки </w:t>
      </w:r>
      <w:r w:rsidR="00697900">
        <w:rPr>
          <w:rFonts w:ascii="Arial" w:hAnsi="Arial" w:cs="Arial"/>
          <w:color w:val="242629"/>
        </w:rPr>
        <w:t>Банка России</w:t>
      </w:r>
      <w:r w:rsidRPr="00E108D9">
        <w:rPr>
          <w:rFonts w:ascii="Arial" w:hAnsi="Arial" w:cs="Arial"/>
          <w:color w:val="242629"/>
        </w:rPr>
        <w:t xml:space="preserve"> спрос на вторичную недвижимость упал, доля выданных средств по льготным программам возросла практически </w:t>
      </w:r>
      <w:r w:rsidR="002704C1">
        <w:rPr>
          <w:rFonts w:ascii="Arial" w:hAnsi="Arial" w:cs="Arial"/>
          <w:color w:val="242629"/>
        </w:rPr>
        <w:t xml:space="preserve">до </w:t>
      </w:r>
      <w:r w:rsidRPr="00E108D9">
        <w:rPr>
          <w:rFonts w:ascii="Arial" w:hAnsi="Arial" w:cs="Arial"/>
          <w:color w:val="242629"/>
        </w:rPr>
        <w:t>50%.</w:t>
      </w:r>
    </w:p>
    <w:p w:rsidR="00680191" w:rsidRDefault="00E108D9" w:rsidP="00E108D9">
      <w:pPr>
        <w:pStyle w:val="af"/>
        <w:shd w:val="clear" w:color="auto" w:fill="FFFFFF"/>
        <w:jc w:val="both"/>
        <w:rPr>
          <w:rFonts w:ascii="Arial" w:hAnsi="Arial" w:cs="Arial"/>
          <w:color w:val="242629"/>
        </w:rPr>
      </w:pPr>
      <w:r w:rsidRPr="00E108D9">
        <w:rPr>
          <w:rFonts w:ascii="Arial" w:hAnsi="Arial" w:cs="Arial"/>
          <w:color w:val="242629"/>
        </w:rPr>
        <w:lastRenderedPageBreak/>
        <w:t>К концу второго квартала спрос на вторичную недвижимость начал восстанавливаться, поскольку значения ключевой ставки вернулись к привычным значениям. Как следствие, доля сделок по льготным программам вернулась к равновесным показателям начала</w:t>
      </w:r>
      <w:r w:rsidR="00300EDD">
        <w:rPr>
          <w:rFonts w:ascii="Arial" w:hAnsi="Arial" w:cs="Arial"/>
          <w:color w:val="242629"/>
        </w:rPr>
        <w:t xml:space="preserve"> этого года: на уровень 25–30%.</w:t>
      </w:r>
    </w:p>
    <w:p w:rsidR="00E108D9" w:rsidRPr="00E108D9" w:rsidRDefault="00680191" w:rsidP="00E108D9">
      <w:pPr>
        <w:pStyle w:val="af"/>
        <w:shd w:val="clear" w:color="auto" w:fill="FFFFFF"/>
        <w:jc w:val="both"/>
        <w:rPr>
          <w:rFonts w:ascii="Arial" w:hAnsi="Arial" w:cs="Arial"/>
          <w:color w:val="242629"/>
        </w:rPr>
      </w:pPr>
      <w:r>
        <w:rPr>
          <w:rFonts w:ascii="Arial" w:hAnsi="Arial" w:cs="Arial"/>
          <w:color w:val="242629"/>
        </w:rPr>
        <w:t>С</w:t>
      </w:r>
      <w:r w:rsidR="00E108D9" w:rsidRPr="00E108D9">
        <w:rPr>
          <w:rFonts w:ascii="Arial" w:hAnsi="Arial" w:cs="Arial"/>
          <w:color w:val="242629"/>
        </w:rPr>
        <w:t xml:space="preserve">окращение доли льготной ипотеки в общем объеме выдач в конце второго и в третьем квартале </w:t>
      </w:r>
      <w:r>
        <w:rPr>
          <w:rFonts w:ascii="Arial" w:hAnsi="Arial" w:cs="Arial"/>
          <w:color w:val="242629"/>
        </w:rPr>
        <w:t xml:space="preserve">2022 года </w:t>
      </w:r>
      <w:r w:rsidR="00E108D9" w:rsidRPr="00E108D9">
        <w:rPr>
          <w:rFonts w:ascii="Arial" w:hAnsi="Arial" w:cs="Arial"/>
          <w:color w:val="242629"/>
        </w:rPr>
        <w:t>не связано с падением спроса, а является прямым следствием восстановления рынка вторичной недвижимости.</w:t>
      </w:r>
    </w:p>
    <w:p w:rsidR="00E108D9" w:rsidRPr="00E108D9" w:rsidRDefault="00300EDD" w:rsidP="00E108D9">
      <w:pPr>
        <w:pStyle w:val="af"/>
        <w:shd w:val="clear" w:color="auto" w:fill="FFFFFF"/>
        <w:jc w:val="both"/>
        <w:rPr>
          <w:rFonts w:ascii="Arial" w:hAnsi="Arial" w:cs="Arial"/>
          <w:color w:val="242629"/>
        </w:rPr>
      </w:pPr>
      <w:r>
        <w:rPr>
          <w:rFonts w:ascii="Arial" w:hAnsi="Arial" w:cs="Arial"/>
          <w:color w:val="242629"/>
        </w:rPr>
        <w:t xml:space="preserve">В ноябре </w:t>
      </w:r>
      <w:r w:rsidR="00E108D9" w:rsidRPr="00E108D9">
        <w:rPr>
          <w:rFonts w:ascii="Arial" w:hAnsi="Arial" w:cs="Arial"/>
          <w:color w:val="242629"/>
        </w:rPr>
        <w:t>заявления о возможном прекращении действия программы господдержки подстегнули покупательский спрос. По двум основным льготным программам наблюдается прирост: +3% — по «</w:t>
      </w:r>
      <w:hyperlink r:id="rId10" w:tgtFrame="_blank" w:history="1">
        <w:r w:rsidR="00E108D9" w:rsidRPr="00E108D9">
          <w:rPr>
            <w:rStyle w:val="aa"/>
            <w:rFonts w:ascii="Arial" w:hAnsi="Arial" w:cs="Arial"/>
            <w:color w:val="2DC26B"/>
          </w:rPr>
          <w:t>Господдержке</w:t>
        </w:r>
      </w:hyperlink>
      <w:r w:rsidR="00E108D9" w:rsidRPr="00E108D9">
        <w:rPr>
          <w:rFonts w:ascii="Arial" w:hAnsi="Arial" w:cs="Arial"/>
          <w:color w:val="242629"/>
        </w:rPr>
        <w:t>», +2% — по «</w:t>
      </w:r>
      <w:hyperlink r:id="rId11" w:tgtFrame="_blank" w:history="1">
        <w:r w:rsidR="00E108D9" w:rsidRPr="00E108D9">
          <w:rPr>
            <w:rStyle w:val="aa"/>
            <w:rFonts w:ascii="Arial" w:hAnsi="Arial" w:cs="Arial"/>
            <w:color w:val="2DC26B"/>
          </w:rPr>
          <w:t>Семейной ипотеке</w:t>
        </w:r>
      </w:hyperlink>
      <w:r w:rsidR="00E108D9" w:rsidRPr="00E108D9">
        <w:rPr>
          <w:rFonts w:ascii="Arial" w:hAnsi="Arial" w:cs="Arial"/>
          <w:color w:val="242629"/>
        </w:rPr>
        <w:t>».</w:t>
      </w:r>
    </w:p>
    <w:p w:rsidR="00E108D9" w:rsidRPr="00E108D9" w:rsidRDefault="00E108D9" w:rsidP="00334606">
      <w:pPr>
        <w:spacing w:after="200" w:line="240" w:lineRule="auto"/>
        <w:jc w:val="both"/>
        <w:rPr>
          <w:b/>
          <w:bCs/>
          <w:iCs/>
          <w:sz w:val="24"/>
          <w:szCs w:val="28"/>
          <w:lang w:val="ru-RU"/>
        </w:rPr>
      </w:pPr>
      <w:r w:rsidRPr="00E108D9">
        <w:rPr>
          <w:b/>
          <w:bCs/>
          <w:iCs/>
          <w:sz w:val="24"/>
          <w:szCs w:val="28"/>
          <w:lang w:val="ru-RU"/>
        </w:rPr>
        <w:t>Как менялся интерес к льготным программам в регионах</w:t>
      </w:r>
    </w:p>
    <w:p w:rsidR="00E108D9" w:rsidRDefault="003E101F" w:rsidP="00334606">
      <w:pPr>
        <w:spacing w:after="200" w:line="240" w:lineRule="auto"/>
        <w:jc w:val="both"/>
        <w:rPr>
          <w:i/>
          <w:szCs w:val="24"/>
          <w:lang w:val="ru-RU"/>
        </w:rPr>
      </w:pPr>
      <w:r>
        <w:rPr>
          <w:i/>
          <w:noProof/>
          <w:szCs w:val="24"/>
          <w:lang w:val="ru-RU"/>
        </w:rPr>
        <w:drawing>
          <wp:inline distT="0" distB="0" distL="0" distR="0" wp14:anchorId="5BE42171" wp14:editId="161AA871">
            <wp:extent cx="5733415" cy="3711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2">
                      <a:extLst>
                        <a:ext uri="{28A0092B-C50C-407E-A947-70E740481C1C}">
                          <a14:useLocalDpi xmlns:a14="http://schemas.microsoft.com/office/drawing/2010/main" val="0"/>
                        </a:ext>
                      </a:extLst>
                    </a:blip>
                    <a:stretch>
                      <a:fillRect/>
                    </a:stretch>
                  </pic:blipFill>
                  <pic:spPr>
                    <a:xfrm>
                      <a:off x="0" y="0"/>
                      <a:ext cx="5733415" cy="3711575"/>
                    </a:xfrm>
                    <a:prstGeom prst="rect">
                      <a:avLst/>
                    </a:prstGeom>
                  </pic:spPr>
                </pic:pic>
              </a:graphicData>
            </a:graphic>
          </wp:inline>
        </w:drawing>
      </w:r>
    </w:p>
    <w:p w:rsidR="00E108D9" w:rsidRDefault="00E108D9" w:rsidP="00956470">
      <w:pPr>
        <w:spacing w:line="240" w:lineRule="auto"/>
        <w:jc w:val="both"/>
        <w:rPr>
          <w:rFonts w:eastAsia="Times New Roman"/>
          <w:i/>
          <w:iCs/>
          <w:sz w:val="20"/>
          <w:szCs w:val="20"/>
          <w:lang w:val="ru-RU"/>
        </w:rPr>
      </w:pPr>
      <w:r w:rsidRPr="00E108D9">
        <w:rPr>
          <w:rFonts w:eastAsia="Times New Roman"/>
          <w:i/>
          <w:iCs/>
          <w:sz w:val="20"/>
          <w:szCs w:val="20"/>
          <w:lang w:val="ru-RU"/>
        </w:rPr>
        <w:t>Количество выданных кредитов по льготным программам за ноябрь 2022 для топ-10 регионов по количеству выдач. Суммарная доля по всем льготным программам относительно общего количества выдач за месяц показана красным, доля выдач по программе доля вы</w:t>
      </w:r>
      <w:r w:rsidR="00300EDD">
        <w:rPr>
          <w:rFonts w:eastAsia="Times New Roman"/>
          <w:i/>
          <w:iCs/>
          <w:sz w:val="20"/>
          <w:szCs w:val="20"/>
          <w:lang w:val="ru-RU"/>
        </w:rPr>
        <w:t xml:space="preserve">дач по программе «Господдержка» </w:t>
      </w:r>
      <w:r w:rsidRPr="00E108D9">
        <w:rPr>
          <w:rFonts w:eastAsia="Times New Roman"/>
          <w:i/>
          <w:iCs/>
          <w:sz w:val="20"/>
          <w:szCs w:val="20"/>
          <w:lang w:val="ru-RU"/>
        </w:rPr>
        <w:t xml:space="preserve">показана зеленым, «Семейная ипотека» — голубым, IT-ипотека — фиолетовым, </w:t>
      </w:r>
      <w:r w:rsidR="00300EDD">
        <w:rPr>
          <w:rFonts w:eastAsia="Times New Roman"/>
          <w:i/>
          <w:iCs/>
          <w:sz w:val="20"/>
          <w:szCs w:val="20"/>
          <w:lang w:val="ru-RU"/>
        </w:rPr>
        <w:t xml:space="preserve">«Сельская ипотека» — сиреневым. </w:t>
      </w:r>
      <w:r w:rsidRPr="00E108D9">
        <w:rPr>
          <w:rFonts w:eastAsia="Times New Roman"/>
          <w:i/>
          <w:iCs/>
          <w:sz w:val="20"/>
          <w:szCs w:val="20"/>
          <w:lang w:val="ru-RU"/>
        </w:rPr>
        <w:t>Данные отсортированы по суммарной доле сделок по указанным льготным программам.</w:t>
      </w:r>
    </w:p>
    <w:p w:rsidR="00E108D9" w:rsidRPr="00E108D9" w:rsidRDefault="00E108D9" w:rsidP="00E108D9">
      <w:pPr>
        <w:pStyle w:val="af"/>
        <w:shd w:val="clear" w:color="auto" w:fill="FFFFFF"/>
        <w:jc w:val="both"/>
        <w:rPr>
          <w:rFonts w:ascii="Arial" w:hAnsi="Arial" w:cs="Arial"/>
          <w:color w:val="242629"/>
        </w:rPr>
      </w:pPr>
      <w:r w:rsidRPr="00E108D9">
        <w:rPr>
          <w:rFonts w:ascii="Arial" w:hAnsi="Arial" w:cs="Arial"/>
          <w:color w:val="242629"/>
        </w:rPr>
        <w:t>Как видно на графике, повышение интереса населения к льготным программам фиксируется во всех регионах, которые лидируют по количеству сделок: прирост количества выдач льготной ипотеки составляет 1–8%.</w:t>
      </w:r>
    </w:p>
    <w:p w:rsidR="00E108D9" w:rsidRPr="00E108D9" w:rsidRDefault="00E108D9" w:rsidP="00E108D9">
      <w:pPr>
        <w:pStyle w:val="af"/>
        <w:shd w:val="clear" w:color="auto" w:fill="FFFFFF"/>
        <w:jc w:val="both"/>
        <w:rPr>
          <w:rFonts w:ascii="Arial" w:hAnsi="Arial" w:cs="Arial"/>
          <w:color w:val="242629"/>
        </w:rPr>
      </w:pPr>
      <w:r w:rsidRPr="00E108D9">
        <w:rPr>
          <w:rFonts w:ascii="Arial" w:hAnsi="Arial" w:cs="Arial"/>
          <w:color w:val="242629"/>
        </w:rPr>
        <w:t>В ноябре, как и на протяжении всего 2022 года, наиболее востребованной из льготных программ, является «</w:t>
      </w:r>
      <w:hyperlink r:id="rId13" w:tgtFrame="_blank" w:history="1">
        <w:r w:rsidRPr="00E108D9">
          <w:rPr>
            <w:rStyle w:val="aa"/>
            <w:rFonts w:ascii="Arial" w:hAnsi="Arial" w:cs="Arial"/>
            <w:color w:val="2DC26B"/>
          </w:rPr>
          <w:t>Господдержка</w:t>
        </w:r>
      </w:hyperlink>
      <w:r w:rsidRPr="00E108D9">
        <w:rPr>
          <w:rFonts w:ascii="Arial" w:hAnsi="Arial" w:cs="Arial"/>
          <w:color w:val="242629"/>
        </w:rPr>
        <w:t xml:space="preserve">»: процент выдач по ней </w:t>
      </w:r>
      <w:r w:rsidRPr="00E108D9">
        <w:rPr>
          <w:rFonts w:ascii="Arial" w:hAnsi="Arial" w:cs="Arial"/>
          <w:color w:val="242629"/>
        </w:rPr>
        <w:lastRenderedPageBreak/>
        <w:t>составляет 19%. При этом, среди топ-10 регионов по количеству сделок максимальные значения доли выдач по этой программе в Санкт-Петербурге (34%), Краснодарском крае (29%) и Москве (30%).</w:t>
      </w:r>
    </w:p>
    <w:p w:rsidR="00E108D9" w:rsidRPr="00E108D9" w:rsidRDefault="00E108D9" w:rsidP="00E108D9">
      <w:pPr>
        <w:pStyle w:val="af"/>
        <w:shd w:val="clear" w:color="auto" w:fill="FFFFFF"/>
        <w:jc w:val="both"/>
        <w:rPr>
          <w:rFonts w:ascii="Arial" w:hAnsi="Arial" w:cs="Arial"/>
          <w:color w:val="242629"/>
        </w:rPr>
      </w:pPr>
      <w:r w:rsidRPr="00E108D9">
        <w:rPr>
          <w:rFonts w:ascii="Arial" w:hAnsi="Arial" w:cs="Arial"/>
          <w:color w:val="242629"/>
        </w:rPr>
        <w:t>На втором месте по востребованности — «</w:t>
      </w:r>
      <w:hyperlink r:id="rId14" w:tgtFrame="_blank" w:history="1">
        <w:r w:rsidRPr="00E108D9">
          <w:rPr>
            <w:rStyle w:val="aa"/>
            <w:rFonts w:ascii="Arial" w:hAnsi="Arial" w:cs="Arial"/>
            <w:color w:val="2DC26B"/>
          </w:rPr>
          <w:t>Семейная ипотека</w:t>
        </w:r>
      </w:hyperlink>
      <w:r w:rsidRPr="00E108D9">
        <w:rPr>
          <w:rFonts w:ascii="Arial" w:hAnsi="Arial" w:cs="Arial"/>
          <w:color w:val="242629"/>
        </w:rPr>
        <w:t>»</w:t>
      </w:r>
      <w:r w:rsidRPr="00E108D9">
        <w:rPr>
          <w:rStyle w:val="af0"/>
          <w:rFonts w:ascii="Arial" w:hAnsi="Arial" w:cs="Arial"/>
          <w:b w:val="0"/>
          <w:bCs w:val="0"/>
          <w:color w:val="242629"/>
        </w:rPr>
        <w:t>:</w:t>
      </w:r>
      <w:r w:rsidR="00300EDD">
        <w:rPr>
          <w:rStyle w:val="af0"/>
          <w:rFonts w:ascii="Arial" w:hAnsi="Arial" w:cs="Arial"/>
          <w:b w:val="0"/>
          <w:bCs w:val="0"/>
          <w:color w:val="242629"/>
        </w:rPr>
        <w:t xml:space="preserve"> </w:t>
      </w:r>
      <w:r w:rsidRPr="00E108D9">
        <w:rPr>
          <w:rFonts w:ascii="Arial" w:hAnsi="Arial" w:cs="Arial"/>
          <w:color w:val="242629"/>
        </w:rPr>
        <w:t>в ноябре доля от общего количества ипотечных сделок составляет около 8% (как и на протяжении всего 3 квартала). В этом месяце лидирующую позицию занимает Краснодарский край: доля сделок — 13%.</w:t>
      </w:r>
    </w:p>
    <w:p w:rsidR="00E108D9" w:rsidRPr="00E108D9" w:rsidRDefault="00E108D9" w:rsidP="00E108D9">
      <w:pPr>
        <w:pStyle w:val="af"/>
        <w:shd w:val="clear" w:color="auto" w:fill="FFFFFF"/>
        <w:jc w:val="both"/>
        <w:rPr>
          <w:rFonts w:ascii="Arial" w:hAnsi="Arial" w:cs="Arial"/>
          <w:color w:val="242629"/>
        </w:rPr>
      </w:pPr>
      <w:r w:rsidRPr="00E108D9">
        <w:rPr>
          <w:rFonts w:ascii="Arial" w:hAnsi="Arial" w:cs="Arial"/>
          <w:color w:val="242629"/>
        </w:rPr>
        <w:t>Значительно меньшим спросом пользуются программы «Дальневосточная ипотека», «IT-ипотека», «Сельская ипотека». По итогам ноября, несмотря на повышенное внимание покупателей к программе господдержки и семейной ипотеки, доли сделок по этим программам по стране остаются невысокими — 1,9%, 0,3% и 0,5% соответственно.</w:t>
      </w:r>
    </w:p>
    <w:p w:rsidR="00310F4A" w:rsidRPr="003919C0" w:rsidRDefault="005F127D" w:rsidP="00334606">
      <w:pPr>
        <w:shd w:val="clear" w:color="auto" w:fill="FFFFFF"/>
        <w:spacing w:line="240" w:lineRule="auto"/>
        <w:jc w:val="center"/>
        <w:rPr>
          <w:sz w:val="24"/>
          <w:szCs w:val="24"/>
        </w:rPr>
      </w:pPr>
      <w:r w:rsidRPr="003919C0">
        <w:rPr>
          <w:sz w:val="24"/>
          <w:szCs w:val="24"/>
        </w:rPr>
        <w:t># # #</w:t>
      </w:r>
    </w:p>
    <w:p w:rsidR="00310F4A" w:rsidRPr="00334606" w:rsidRDefault="00310F4A" w:rsidP="00334606">
      <w:pPr>
        <w:spacing w:line="240" w:lineRule="auto"/>
        <w:jc w:val="both"/>
      </w:pPr>
    </w:p>
    <w:p w:rsidR="00310F4A" w:rsidRPr="00970408" w:rsidRDefault="005F127D" w:rsidP="00334606">
      <w:pPr>
        <w:shd w:val="clear" w:color="auto" w:fill="FFFFFF"/>
        <w:spacing w:line="240" w:lineRule="auto"/>
        <w:jc w:val="both"/>
      </w:pPr>
      <w:r w:rsidRPr="00970408">
        <w:t>Пресс-служба</w:t>
      </w:r>
    </w:p>
    <w:p w:rsidR="00310F4A" w:rsidRPr="00970408" w:rsidRDefault="005F127D" w:rsidP="00334606">
      <w:pPr>
        <w:shd w:val="clear" w:color="auto" w:fill="FFFFFF"/>
        <w:spacing w:line="240" w:lineRule="auto"/>
        <w:jc w:val="both"/>
        <w:rPr>
          <w:color w:val="0000FF"/>
          <w:u w:val="single"/>
        </w:rPr>
      </w:pPr>
      <w:r w:rsidRPr="00970408">
        <w:rPr>
          <w:color w:val="0000FF"/>
          <w:u w:val="single"/>
        </w:rPr>
        <w:t>media@sberbank.ru</w:t>
      </w:r>
    </w:p>
    <w:p w:rsidR="00310F4A" w:rsidRPr="00970408" w:rsidRDefault="00310F4A" w:rsidP="00334606">
      <w:pPr>
        <w:spacing w:line="240" w:lineRule="auto"/>
        <w:jc w:val="both"/>
      </w:pPr>
    </w:p>
    <w:p w:rsidR="001909A1" w:rsidRPr="00970408" w:rsidRDefault="001909A1">
      <w:pPr>
        <w:spacing w:line="240" w:lineRule="auto"/>
        <w:jc w:val="both"/>
      </w:pPr>
      <w:r w:rsidRPr="00970408">
        <w:rPr>
          <w:b/>
          <w:bCs/>
          <w:color w:val="000000"/>
          <w:bdr w:val="none" w:sz="0" w:space="0" w:color="auto" w:frame="1"/>
        </w:rPr>
        <w:t>ПАО Сбербанк</w:t>
      </w:r>
      <w:r w:rsidRPr="00970408">
        <w:rPr>
          <w:color w:val="000000"/>
          <w:bdr w:val="none" w:sz="0" w:space="0" w:color="auto" w:frame="1"/>
        </w:rPr>
        <w:t xml:space="preserve"> — один из крупнейших банков в России и один из ведущих глобальных финансовых институтов. На долю Сбербанка приходится около трети активов всего российского банковского сектора. Сбербанк является ключевым кредитором для национальной экономики и занимает одну из крупнейших долей на рынке вкладов. Основным акционером ПАО Сбербанк является Российская Федерация в лице Министерства финансов Российской Федерации, владеющая 50% уставного капитала ПАО Сбербанк плюс 1 голосующая акция. Оставшимися 50% минус 1 голосующая акция от уставного капитала банка владеют российские и международные инвесторы. Банк располагает обширной филиальной сетью в России: около 14 тысяч точек обслуживания. Генеральная лицензия Банка России на осуществление банковских операций № 1481 от 11.08.2015. Официальные сайты банка: </w:t>
      </w:r>
      <w:hyperlink r:id="rId15" w:history="1">
        <w:r w:rsidRPr="00970408">
          <w:rPr>
            <w:rStyle w:val="aa"/>
            <w:color w:val="800080"/>
            <w:bdr w:val="none" w:sz="0" w:space="0" w:color="auto" w:frame="1"/>
          </w:rPr>
          <w:t>www.sberbank.com</w:t>
        </w:r>
      </w:hyperlink>
      <w:r w:rsidRPr="00970408">
        <w:rPr>
          <w:color w:val="000000"/>
          <w:bdr w:val="none" w:sz="0" w:space="0" w:color="auto" w:frame="1"/>
        </w:rPr>
        <w:t xml:space="preserve"> (сайт Группы Сбербанк), </w:t>
      </w:r>
      <w:hyperlink r:id="rId16" w:history="1">
        <w:r w:rsidRPr="00970408">
          <w:rPr>
            <w:rStyle w:val="aa"/>
            <w:color w:val="800080"/>
            <w:bdr w:val="none" w:sz="0" w:space="0" w:color="auto" w:frame="1"/>
          </w:rPr>
          <w:t>www.sberbank.ru</w:t>
        </w:r>
      </w:hyperlink>
      <w:r w:rsidRPr="00970408">
        <w:t>.</w:t>
      </w:r>
    </w:p>
    <w:p w:rsidR="00C34637" w:rsidRPr="00970408" w:rsidRDefault="00C34637">
      <w:pPr>
        <w:spacing w:line="240" w:lineRule="auto"/>
        <w:jc w:val="both"/>
      </w:pPr>
    </w:p>
    <w:p w:rsidR="00C34637" w:rsidRDefault="00C34637">
      <w:pPr>
        <w:pStyle w:val="p1"/>
        <w:shd w:val="clear" w:color="auto" w:fill="FFFFFF"/>
        <w:jc w:val="both"/>
        <w:rPr>
          <w:rFonts w:ascii="Arial" w:hAnsi="Arial" w:cs="Arial"/>
          <w:sz w:val="22"/>
          <w:szCs w:val="22"/>
        </w:rPr>
      </w:pPr>
      <w:r w:rsidRPr="00970408">
        <w:rPr>
          <w:rStyle w:val="af0"/>
          <w:rFonts w:ascii="Arial" w:hAnsi="Arial" w:cs="Arial"/>
          <w:sz w:val="22"/>
          <w:szCs w:val="22"/>
        </w:rPr>
        <w:t>Домклик от Сбера</w:t>
      </w:r>
      <w:r w:rsidRPr="00970408">
        <w:rPr>
          <w:rFonts w:ascii="Arial" w:hAnsi="Arial" w:cs="Arial"/>
          <w:sz w:val="22"/>
          <w:szCs w:val="22"/>
        </w:rPr>
        <w:t xml:space="preserve"> —</w:t>
      </w:r>
      <w:r w:rsidRPr="00970408">
        <w:rPr>
          <w:rFonts w:ascii="Arial" w:hAnsi="Arial" w:cs="Arial"/>
          <w:bCs/>
          <w:sz w:val="22"/>
          <w:szCs w:val="22"/>
        </w:rPr>
        <w:t xml:space="preserve"> </w:t>
      </w:r>
      <w:r w:rsidRPr="00334606">
        <w:rPr>
          <w:rStyle w:val="af0"/>
          <w:rFonts w:ascii="Arial" w:hAnsi="Arial" w:cs="Arial"/>
          <w:b w:val="0"/>
          <w:sz w:val="22"/>
          <w:szCs w:val="22"/>
        </w:rPr>
        <w:t>сервис недвижимости № 1 в России по количеству объявлений о продаже квартир</w:t>
      </w:r>
      <w:r w:rsidR="002F7B3D">
        <w:rPr>
          <w:rStyle w:val="af0"/>
          <w:rFonts w:ascii="Arial" w:hAnsi="Arial" w:cs="Arial"/>
          <w:b w:val="0"/>
          <w:sz w:val="22"/>
          <w:szCs w:val="22"/>
        </w:rPr>
        <w:t xml:space="preserve"> и новостроек</w:t>
      </w:r>
      <w:r w:rsidRPr="00334606">
        <w:rPr>
          <w:rStyle w:val="af0"/>
          <w:rFonts w:ascii="Arial" w:hAnsi="Arial" w:cs="Arial"/>
          <w:b w:val="0"/>
          <w:sz w:val="22"/>
          <w:szCs w:val="22"/>
        </w:rPr>
        <w:t>*</w:t>
      </w:r>
      <w:r w:rsidRPr="00970408">
        <w:rPr>
          <w:rFonts w:ascii="Arial" w:hAnsi="Arial" w:cs="Arial"/>
          <w:sz w:val="22"/>
          <w:szCs w:val="22"/>
        </w:rPr>
        <w:t xml:space="preserve">. С </w:t>
      </w:r>
      <w:hyperlink r:id="rId17" w:history="1">
        <w:r w:rsidRPr="00970408">
          <w:rPr>
            <w:rStyle w:val="aa"/>
            <w:rFonts w:ascii="Arial" w:hAnsi="Arial" w:cs="Arial"/>
            <w:sz w:val="22"/>
            <w:szCs w:val="22"/>
          </w:rPr>
          <w:t>Домклик</w:t>
        </w:r>
      </w:hyperlink>
      <w:r w:rsidRPr="00970408">
        <w:rPr>
          <w:rFonts w:ascii="Arial" w:hAnsi="Arial" w:cs="Arial"/>
          <w:sz w:val="22"/>
          <w:szCs w:val="22"/>
        </w:rPr>
        <w:t xml:space="preserve"> все участники рынка могут решить свои вопросы с недвижимостью без стресса и с удовольствием, с заботой о каждом клиенте, партнёре и сотруднике. Онлайн можно купить, продать или сдать в аренду недвижимость, оформить ипотеку, зарегистрировать сделку в электронном виде и безопасно провести расчёты между покупателем и продавцом. Сервис посещает более 13 млн пользователей ежемесячно, и он входит в топ самых посещаемых ресурсов в категории недвижимости в России. В базе Домклик содержится более 2 млн объявлений.</w:t>
      </w:r>
    </w:p>
    <w:p w:rsidR="00300EDD" w:rsidRPr="00970408" w:rsidRDefault="00300EDD">
      <w:pPr>
        <w:pStyle w:val="p1"/>
        <w:shd w:val="clear" w:color="auto" w:fill="FFFFFF"/>
        <w:jc w:val="both"/>
        <w:rPr>
          <w:rFonts w:ascii="Arial" w:hAnsi="Arial" w:cs="Arial"/>
          <w:sz w:val="22"/>
          <w:szCs w:val="22"/>
        </w:rPr>
      </w:pPr>
    </w:p>
    <w:p w:rsidR="001909A1" w:rsidRPr="00300EDD" w:rsidRDefault="00C34637" w:rsidP="00334606">
      <w:pPr>
        <w:pStyle w:val="11"/>
        <w:shd w:val="clear" w:color="auto" w:fill="FFFFFF"/>
        <w:spacing w:before="0" w:beforeAutospacing="0" w:after="0" w:afterAutospacing="0"/>
        <w:jc w:val="both"/>
        <w:rPr>
          <w:rFonts w:ascii="Arial" w:hAnsi="Arial" w:cs="Arial"/>
          <w:sz w:val="18"/>
          <w:szCs w:val="18"/>
          <w:bdr w:val="none" w:sz="0" w:space="0" w:color="auto" w:frame="1"/>
        </w:rPr>
      </w:pPr>
      <w:r w:rsidRPr="00300EDD">
        <w:rPr>
          <w:rFonts w:ascii="Arial" w:hAnsi="Arial" w:cs="Arial"/>
          <w:i/>
          <w:sz w:val="18"/>
          <w:szCs w:val="18"/>
        </w:rPr>
        <w:t>*По данным исследования кредитного рейтингового агентства АО «Эксперт РА», проведённого с 1 ноября по 31 декабря 2021 года, Домклик — лидер рынка по количеству актуальных объявлений о продаже жилой недвижимости в многоквартирных домах в РФ.</w:t>
      </w:r>
    </w:p>
    <w:sectPr w:rsidR="001909A1" w:rsidRPr="00300EDD">
      <w:headerReference w:type="even" r:id="rId18"/>
      <w:headerReference w:type="default" r:id="rId19"/>
      <w:footerReference w:type="even" r:id="rId20"/>
      <w:footerReference w:type="default" r:id="rId21"/>
      <w:headerReference w:type="first" r:id="rId22"/>
      <w:footerReference w:type="firs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20" w:rsidRDefault="006B6620" w:rsidP="007208F7">
      <w:pPr>
        <w:spacing w:line="240" w:lineRule="auto"/>
      </w:pPr>
      <w:r>
        <w:separator/>
      </w:r>
    </w:p>
  </w:endnote>
  <w:endnote w:type="continuationSeparator" w:id="0">
    <w:p w:rsidR="006B6620" w:rsidRDefault="006B6620" w:rsidP="00720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98" w:rsidRDefault="00F12E9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7" w:rsidRDefault="00F12E98">
    <w:pPr>
      <w:pStyle w:val="ad"/>
    </w:pPr>
    <w:r>
      <w:rPr>
        <w:noProof/>
        <w:lang w:val="ru-RU"/>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98" w:rsidRDefault="00F12E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20" w:rsidRDefault="006B6620" w:rsidP="007208F7">
      <w:pPr>
        <w:spacing w:line="240" w:lineRule="auto"/>
      </w:pPr>
      <w:r>
        <w:separator/>
      </w:r>
    </w:p>
  </w:footnote>
  <w:footnote w:type="continuationSeparator" w:id="0">
    <w:p w:rsidR="006B6620" w:rsidRDefault="006B6620" w:rsidP="007208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98" w:rsidRDefault="00F12E9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98" w:rsidRDefault="00F12E98">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98" w:rsidRDefault="00F12E9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3A41"/>
    <w:multiLevelType w:val="multilevel"/>
    <w:tmpl w:val="2548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249FD"/>
    <w:multiLevelType w:val="multilevel"/>
    <w:tmpl w:val="878EB59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551B5"/>
    <w:multiLevelType w:val="multilevel"/>
    <w:tmpl w:val="9F8439D4"/>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84EBC"/>
    <w:multiLevelType w:val="multilevel"/>
    <w:tmpl w:val="B06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4A"/>
    <w:rsid w:val="0002501D"/>
    <w:rsid w:val="00036E69"/>
    <w:rsid w:val="00083869"/>
    <w:rsid w:val="000876EA"/>
    <w:rsid w:val="000A5BEB"/>
    <w:rsid w:val="000C241E"/>
    <w:rsid w:val="000D0211"/>
    <w:rsid w:val="000E0A81"/>
    <w:rsid w:val="00121B41"/>
    <w:rsid w:val="00143667"/>
    <w:rsid w:val="00170492"/>
    <w:rsid w:val="00172B4C"/>
    <w:rsid w:val="001760EB"/>
    <w:rsid w:val="001909A1"/>
    <w:rsid w:val="00194BB3"/>
    <w:rsid w:val="001A2600"/>
    <w:rsid w:val="001E1B3C"/>
    <w:rsid w:val="001F53C1"/>
    <w:rsid w:val="001F5532"/>
    <w:rsid w:val="00211603"/>
    <w:rsid w:val="00227BBD"/>
    <w:rsid w:val="00253A05"/>
    <w:rsid w:val="002610BB"/>
    <w:rsid w:val="0026245A"/>
    <w:rsid w:val="00264713"/>
    <w:rsid w:val="002704C1"/>
    <w:rsid w:val="00271743"/>
    <w:rsid w:val="002B4206"/>
    <w:rsid w:val="002C7EE4"/>
    <w:rsid w:val="002F7B3D"/>
    <w:rsid w:val="00300EDD"/>
    <w:rsid w:val="00310A02"/>
    <w:rsid w:val="00310F4A"/>
    <w:rsid w:val="00322C53"/>
    <w:rsid w:val="003337E8"/>
    <w:rsid w:val="00334606"/>
    <w:rsid w:val="00354DD4"/>
    <w:rsid w:val="00371F69"/>
    <w:rsid w:val="00375939"/>
    <w:rsid w:val="003919C0"/>
    <w:rsid w:val="003C7D93"/>
    <w:rsid w:val="003E101F"/>
    <w:rsid w:val="003F5D73"/>
    <w:rsid w:val="00436A8D"/>
    <w:rsid w:val="004425D7"/>
    <w:rsid w:val="004548D1"/>
    <w:rsid w:val="004630CB"/>
    <w:rsid w:val="00472FB7"/>
    <w:rsid w:val="004758E7"/>
    <w:rsid w:val="004845D2"/>
    <w:rsid w:val="004972FA"/>
    <w:rsid w:val="004B7A35"/>
    <w:rsid w:val="004D6140"/>
    <w:rsid w:val="005063F3"/>
    <w:rsid w:val="00517E93"/>
    <w:rsid w:val="00532715"/>
    <w:rsid w:val="00571E72"/>
    <w:rsid w:val="00575E9D"/>
    <w:rsid w:val="00581482"/>
    <w:rsid w:val="00586EA8"/>
    <w:rsid w:val="005A351D"/>
    <w:rsid w:val="005A79BC"/>
    <w:rsid w:val="005B00CE"/>
    <w:rsid w:val="005D4377"/>
    <w:rsid w:val="005E08A6"/>
    <w:rsid w:val="005E11B8"/>
    <w:rsid w:val="005E1B5D"/>
    <w:rsid w:val="005F127D"/>
    <w:rsid w:val="005F4240"/>
    <w:rsid w:val="005F718B"/>
    <w:rsid w:val="006032D3"/>
    <w:rsid w:val="00626E8E"/>
    <w:rsid w:val="00627C1B"/>
    <w:rsid w:val="006764B0"/>
    <w:rsid w:val="006768A6"/>
    <w:rsid w:val="00680191"/>
    <w:rsid w:val="006844C7"/>
    <w:rsid w:val="00684A66"/>
    <w:rsid w:val="006944AC"/>
    <w:rsid w:val="00697900"/>
    <w:rsid w:val="006B0C9D"/>
    <w:rsid w:val="006B32C2"/>
    <w:rsid w:val="006B49E3"/>
    <w:rsid w:val="006B6620"/>
    <w:rsid w:val="006C108B"/>
    <w:rsid w:val="006C2D71"/>
    <w:rsid w:val="007018F0"/>
    <w:rsid w:val="007208F7"/>
    <w:rsid w:val="0073376C"/>
    <w:rsid w:val="00733B22"/>
    <w:rsid w:val="00743883"/>
    <w:rsid w:val="00763282"/>
    <w:rsid w:val="00765950"/>
    <w:rsid w:val="007659AD"/>
    <w:rsid w:val="00773AFF"/>
    <w:rsid w:val="00783877"/>
    <w:rsid w:val="00794298"/>
    <w:rsid w:val="007944A7"/>
    <w:rsid w:val="007C05CD"/>
    <w:rsid w:val="007F1663"/>
    <w:rsid w:val="007F488A"/>
    <w:rsid w:val="00814285"/>
    <w:rsid w:val="0082723F"/>
    <w:rsid w:val="0085112C"/>
    <w:rsid w:val="00856E88"/>
    <w:rsid w:val="00890A2C"/>
    <w:rsid w:val="00892C37"/>
    <w:rsid w:val="008A63E2"/>
    <w:rsid w:val="008B0D7F"/>
    <w:rsid w:val="008B568E"/>
    <w:rsid w:val="008C6BA3"/>
    <w:rsid w:val="008E3CF8"/>
    <w:rsid w:val="00902446"/>
    <w:rsid w:val="0091129F"/>
    <w:rsid w:val="009256F5"/>
    <w:rsid w:val="0095370E"/>
    <w:rsid w:val="0095468A"/>
    <w:rsid w:val="00956470"/>
    <w:rsid w:val="00970408"/>
    <w:rsid w:val="00980F6B"/>
    <w:rsid w:val="00993B9A"/>
    <w:rsid w:val="009B0343"/>
    <w:rsid w:val="009C3BFA"/>
    <w:rsid w:val="009C64EE"/>
    <w:rsid w:val="009D3318"/>
    <w:rsid w:val="00A00120"/>
    <w:rsid w:val="00A31899"/>
    <w:rsid w:val="00A42F84"/>
    <w:rsid w:val="00A44A50"/>
    <w:rsid w:val="00A574DE"/>
    <w:rsid w:val="00A84172"/>
    <w:rsid w:val="00AA0DCE"/>
    <w:rsid w:val="00AA0FC3"/>
    <w:rsid w:val="00AA577D"/>
    <w:rsid w:val="00AD491A"/>
    <w:rsid w:val="00B00FD6"/>
    <w:rsid w:val="00B31077"/>
    <w:rsid w:val="00B31B0C"/>
    <w:rsid w:val="00B34474"/>
    <w:rsid w:val="00B42E78"/>
    <w:rsid w:val="00B54053"/>
    <w:rsid w:val="00B671B6"/>
    <w:rsid w:val="00B703F8"/>
    <w:rsid w:val="00BA3A7F"/>
    <w:rsid w:val="00BB73CB"/>
    <w:rsid w:val="00BE407A"/>
    <w:rsid w:val="00C1289B"/>
    <w:rsid w:val="00C31B9F"/>
    <w:rsid w:val="00C34637"/>
    <w:rsid w:val="00C57EA0"/>
    <w:rsid w:val="00CA5373"/>
    <w:rsid w:val="00CD41AB"/>
    <w:rsid w:val="00D02B7D"/>
    <w:rsid w:val="00D05326"/>
    <w:rsid w:val="00D30C2A"/>
    <w:rsid w:val="00D7266E"/>
    <w:rsid w:val="00D901B0"/>
    <w:rsid w:val="00D92ADA"/>
    <w:rsid w:val="00DD6B24"/>
    <w:rsid w:val="00DF4571"/>
    <w:rsid w:val="00E01AE9"/>
    <w:rsid w:val="00E108D9"/>
    <w:rsid w:val="00E13C72"/>
    <w:rsid w:val="00E16B4E"/>
    <w:rsid w:val="00E345A1"/>
    <w:rsid w:val="00E3687A"/>
    <w:rsid w:val="00E4452F"/>
    <w:rsid w:val="00E7482B"/>
    <w:rsid w:val="00EB4213"/>
    <w:rsid w:val="00EC04EE"/>
    <w:rsid w:val="00EE4D2E"/>
    <w:rsid w:val="00EF1594"/>
    <w:rsid w:val="00F053EF"/>
    <w:rsid w:val="00F079C1"/>
    <w:rsid w:val="00F12E98"/>
    <w:rsid w:val="00F1621D"/>
    <w:rsid w:val="00F707BE"/>
    <w:rsid w:val="00F76698"/>
    <w:rsid w:val="00F7681F"/>
    <w:rsid w:val="00F81B0D"/>
    <w:rsid w:val="00FA0A53"/>
    <w:rsid w:val="00FA61F8"/>
    <w:rsid w:val="00FB217C"/>
    <w:rsid w:val="00FB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BD1F9F-0D0B-0D4B-A2F2-B1A9FFD3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aa">
    <w:name w:val="Hyperlink"/>
    <w:basedOn w:val="a0"/>
    <w:uiPriority w:val="99"/>
    <w:unhideWhenUsed/>
    <w:rsid w:val="00194BB3"/>
    <w:rPr>
      <w:color w:val="0000FF" w:themeColor="hyperlink"/>
      <w:u w:val="single"/>
    </w:rPr>
  </w:style>
  <w:style w:type="character" w:customStyle="1" w:styleId="10">
    <w:name w:val="Неразрешенное упоминание1"/>
    <w:basedOn w:val="a0"/>
    <w:uiPriority w:val="99"/>
    <w:semiHidden/>
    <w:unhideWhenUsed/>
    <w:rsid w:val="00194BB3"/>
    <w:rPr>
      <w:color w:val="605E5C"/>
      <w:shd w:val="clear" w:color="auto" w:fill="E1DFDD"/>
    </w:rPr>
  </w:style>
  <w:style w:type="paragraph" w:styleId="ab">
    <w:name w:val="header"/>
    <w:basedOn w:val="a"/>
    <w:link w:val="ac"/>
    <w:uiPriority w:val="99"/>
    <w:unhideWhenUsed/>
    <w:rsid w:val="007208F7"/>
    <w:pPr>
      <w:tabs>
        <w:tab w:val="center" w:pos="4677"/>
        <w:tab w:val="right" w:pos="9355"/>
      </w:tabs>
      <w:spacing w:line="240" w:lineRule="auto"/>
    </w:pPr>
  </w:style>
  <w:style w:type="character" w:customStyle="1" w:styleId="ac">
    <w:name w:val="Верхний колонтитул Знак"/>
    <w:basedOn w:val="a0"/>
    <w:link w:val="ab"/>
    <w:uiPriority w:val="99"/>
    <w:rsid w:val="007208F7"/>
  </w:style>
  <w:style w:type="paragraph" w:styleId="ad">
    <w:name w:val="footer"/>
    <w:basedOn w:val="a"/>
    <w:link w:val="ae"/>
    <w:uiPriority w:val="99"/>
    <w:unhideWhenUsed/>
    <w:rsid w:val="007208F7"/>
    <w:pPr>
      <w:tabs>
        <w:tab w:val="center" w:pos="4677"/>
        <w:tab w:val="right" w:pos="9355"/>
      </w:tabs>
      <w:spacing w:line="240" w:lineRule="auto"/>
    </w:pPr>
  </w:style>
  <w:style w:type="character" w:customStyle="1" w:styleId="ae">
    <w:name w:val="Нижний колонтитул Знак"/>
    <w:basedOn w:val="a0"/>
    <w:link w:val="ad"/>
    <w:uiPriority w:val="99"/>
    <w:rsid w:val="007208F7"/>
  </w:style>
  <w:style w:type="paragraph" w:styleId="af">
    <w:name w:val="Normal (Web)"/>
    <w:basedOn w:val="a"/>
    <w:uiPriority w:val="99"/>
    <w:unhideWhenUsed/>
    <w:rsid w:val="001909A1"/>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Hyperlink0">
    <w:name w:val="Hyperlink.0"/>
    <w:basedOn w:val="a0"/>
    <w:rsid w:val="001909A1"/>
    <w:rPr>
      <w:rFonts w:ascii="Arial" w:eastAsia="Arial" w:hAnsi="Arial" w:cs="Arial"/>
      <w:outline w:val="0"/>
      <w:color w:val="0000FF"/>
      <w:sz w:val="22"/>
      <w:szCs w:val="22"/>
      <w:u w:val="single" w:color="0000FF"/>
      <w:lang w:val="en-US"/>
    </w:rPr>
  </w:style>
  <w:style w:type="character" w:styleId="af0">
    <w:name w:val="Strong"/>
    <w:basedOn w:val="a0"/>
    <w:uiPriority w:val="22"/>
    <w:qFormat/>
    <w:rsid w:val="001909A1"/>
    <w:rPr>
      <w:b/>
      <w:bCs/>
    </w:rPr>
  </w:style>
  <w:style w:type="paragraph" w:customStyle="1" w:styleId="p1">
    <w:name w:val="p1"/>
    <w:basedOn w:val="a"/>
    <w:uiPriority w:val="99"/>
    <w:rsid w:val="001909A1"/>
    <w:pPr>
      <w:spacing w:line="240" w:lineRule="auto"/>
    </w:pPr>
    <w:rPr>
      <w:rFonts w:ascii="Helvetica Neue" w:eastAsiaTheme="minorHAnsi" w:hAnsi="Helvetica Neue" w:cs="Times New Roman"/>
      <w:sz w:val="20"/>
      <w:szCs w:val="20"/>
      <w:u w:color="000000"/>
      <w:lang w:val="ru-RU"/>
    </w:rPr>
  </w:style>
  <w:style w:type="character" w:customStyle="1" w:styleId="s1">
    <w:name w:val="s1"/>
    <w:rsid w:val="001909A1"/>
  </w:style>
  <w:style w:type="character" w:customStyle="1" w:styleId="20">
    <w:name w:val="Неразрешенное упоминание2"/>
    <w:basedOn w:val="a0"/>
    <w:uiPriority w:val="99"/>
    <w:semiHidden/>
    <w:unhideWhenUsed/>
    <w:rsid w:val="000C241E"/>
    <w:rPr>
      <w:color w:val="605E5C"/>
      <w:shd w:val="clear" w:color="auto" w:fill="E1DFDD"/>
    </w:rPr>
  </w:style>
  <w:style w:type="paragraph" w:customStyle="1" w:styleId="11">
    <w:name w:val="Обычный (веб)1"/>
    <w:basedOn w:val="a"/>
    <w:uiPriority w:val="99"/>
    <w:unhideWhenUsed/>
    <w:rsid w:val="00C34637"/>
    <w:pPr>
      <w:spacing w:before="100" w:beforeAutospacing="1" w:after="100" w:afterAutospacing="1" w:line="240" w:lineRule="auto"/>
    </w:pPr>
    <w:rPr>
      <w:rFonts w:ascii="Times New Roman" w:eastAsia="Calibri" w:hAnsi="Times New Roman" w:cs="Times New Roman"/>
      <w:sz w:val="24"/>
      <w:szCs w:val="24"/>
      <w:lang w:val="ru-RU"/>
    </w:rPr>
  </w:style>
  <w:style w:type="paragraph" w:styleId="af1">
    <w:name w:val="Balloon Text"/>
    <w:basedOn w:val="a"/>
    <w:link w:val="af2"/>
    <w:uiPriority w:val="99"/>
    <w:semiHidden/>
    <w:unhideWhenUsed/>
    <w:rsid w:val="00334606"/>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34606"/>
    <w:rPr>
      <w:rFonts w:ascii="Segoe UI" w:hAnsi="Segoe UI" w:cs="Segoe UI"/>
      <w:sz w:val="18"/>
      <w:szCs w:val="18"/>
    </w:rPr>
  </w:style>
  <w:style w:type="character" w:customStyle="1" w:styleId="UnresolvedMention">
    <w:name w:val="Unresolved Mention"/>
    <w:basedOn w:val="a0"/>
    <w:uiPriority w:val="99"/>
    <w:semiHidden/>
    <w:unhideWhenUsed/>
    <w:rsid w:val="00E1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8340">
      <w:bodyDiv w:val="1"/>
      <w:marLeft w:val="0"/>
      <w:marRight w:val="0"/>
      <w:marTop w:val="0"/>
      <w:marBottom w:val="0"/>
      <w:divBdr>
        <w:top w:val="none" w:sz="0" w:space="0" w:color="auto"/>
        <w:left w:val="none" w:sz="0" w:space="0" w:color="auto"/>
        <w:bottom w:val="none" w:sz="0" w:space="0" w:color="auto"/>
        <w:right w:val="none" w:sz="0" w:space="0" w:color="auto"/>
      </w:divBdr>
    </w:div>
    <w:div w:id="164513042">
      <w:bodyDiv w:val="1"/>
      <w:marLeft w:val="0"/>
      <w:marRight w:val="0"/>
      <w:marTop w:val="0"/>
      <w:marBottom w:val="0"/>
      <w:divBdr>
        <w:top w:val="none" w:sz="0" w:space="0" w:color="auto"/>
        <w:left w:val="none" w:sz="0" w:space="0" w:color="auto"/>
        <w:bottom w:val="none" w:sz="0" w:space="0" w:color="auto"/>
        <w:right w:val="none" w:sz="0" w:space="0" w:color="auto"/>
      </w:divBdr>
      <w:divsChild>
        <w:div w:id="767238013">
          <w:marLeft w:val="0"/>
          <w:marRight w:val="0"/>
          <w:marTop w:val="300"/>
          <w:marBottom w:val="0"/>
          <w:divBdr>
            <w:top w:val="none" w:sz="0" w:space="0" w:color="auto"/>
            <w:left w:val="none" w:sz="0" w:space="0" w:color="auto"/>
            <w:bottom w:val="none" w:sz="0" w:space="0" w:color="auto"/>
            <w:right w:val="none" w:sz="0" w:space="0" w:color="auto"/>
          </w:divBdr>
        </w:div>
      </w:divsChild>
    </w:div>
    <w:div w:id="239560377">
      <w:bodyDiv w:val="1"/>
      <w:marLeft w:val="0"/>
      <w:marRight w:val="0"/>
      <w:marTop w:val="0"/>
      <w:marBottom w:val="0"/>
      <w:divBdr>
        <w:top w:val="none" w:sz="0" w:space="0" w:color="auto"/>
        <w:left w:val="none" w:sz="0" w:space="0" w:color="auto"/>
        <w:bottom w:val="none" w:sz="0" w:space="0" w:color="auto"/>
        <w:right w:val="none" w:sz="0" w:space="0" w:color="auto"/>
      </w:divBdr>
    </w:div>
    <w:div w:id="286005992">
      <w:bodyDiv w:val="1"/>
      <w:marLeft w:val="0"/>
      <w:marRight w:val="0"/>
      <w:marTop w:val="0"/>
      <w:marBottom w:val="0"/>
      <w:divBdr>
        <w:top w:val="none" w:sz="0" w:space="0" w:color="auto"/>
        <w:left w:val="none" w:sz="0" w:space="0" w:color="auto"/>
        <w:bottom w:val="none" w:sz="0" w:space="0" w:color="auto"/>
        <w:right w:val="none" w:sz="0" w:space="0" w:color="auto"/>
      </w:divBdr>
    </w:div>
    <w:div w:id="387536545">
      <w:bodyDiv w:val="1"/>
      <w:marLeft w:val="0"/>
      <w:marRight w:val="0"/>
      <w:marTop w:val="0"/>
      <w:marBottom w:val="0"/>
      <w:divBdr>
        <w:top w:val="none" w:sz="0" w:space="0" w:color="auto"/>
        <w:left w:val="none" w:sz="0" w:space="0" w:color="auto"/>
        <w:bottom w:val="none" w:sz="0" w:space="0" w:color="auto"/>
        <w:right w:val="none" w:sz="0" w:space="0" w:color="auto"/>
      </w:divBdr>
    </w:div>
    <w:div w:id="422074254">
      <w:bodyDiv w:val="1"/>
      <w:marLeft w:val="0"/>
      <w:marRight w:val="0"/>
      <w:marTop w:val="0"/>
      <w:marBottom w:val="0"/>
      <w:divBdr>
        <w:top w:val="none" w:sz="0" w:space="0" w:color="auto"/>
        <w:left w:val="none" w:sz="0" w:space="0" w:color="auto"/>
        <w:bottom w:val="none" w:sz="0" w:space="0" w:color="auto"/>
        <w:right w:val="none" w:sz="0" w:space="0" w:color="auto"/>
      </w:divBdr>
    </w:div>
    <w:div w:id="432287618">
      <w:bodyDiv w:val="1"/>
      <w:marLeft w:val="0"/>
      <w:marRight w:val="0"/>
      <w:marTop w:val="0"/>
      <w:marBottom w:val="0"/>
      <w:divBdr>
        <w:top w:val="none" w:sz="0" w:space="0" w:color="auto"/>
        <w:left w:val="none" w:sz="0" w:space="0" w:color="auto"/>
        <w:bottom w:val="none" w:sz="0" w:space="0" w:color="auto"/>
        <w:right w:val="none" w:sz="0" w:space="0" w:color="auto"/>
      </w:divBdr>
    </w:div>
    <w:div w:id="649603156">
      <w:bodyDiv w:val="1"/>
      <w:marLeft w:val="0"/>
      <w:marRight w:val="0"/>
      <w:marTop w:val="0"/>
      <w:marBottom w:val="0"/>
      <w:divBdr>
        <w:top w:val="none" w:sz="0" w:space="0" w:color="auto"/>
        <w:left w:val="none" w:sz="0" w:space="0" w:color="auto"/>
        <w:bottom w:val="none" w:sz="0" w:space="0" w:color="auto"/>
        <w:right w:val="none" w:sz="0" w:space="0" w:color="auto"/>
      </w:divBdr>
      <w:divsChild>
        <w:div w:id="1055350208">
          <w:marLeft w:val="0"/>
          <w:marRight w:val="0"/>
          <w:marTop w:val="300"/>
          <w:marBottom w:val="0"/>
          <w:divBdr>
            <w:top w:val="none" w:sz="0" w:space="0" w:color="auto"/>
            <w:left w:val="none" w:sz="0" w:space="0" w:color="auto"/>
            <w:bottom w:val="none" w:sz="0" w:space="0" w:color="auto"/>
            <w:right w:val="none" w:sz="0" w:space="0" w:color="auto"/>
          </w:divBdr>
        </w:div>
      </w:divsChild>
    </w:div>
    <w:div w:id="876620284">
      <w:bodyDiv w:val="1"/>
      <w:marLeft w:val="0"/>
      <w:marRight w:val="0"/>
      <w:marTop w:val="0"/>
      <w:marBottom w:val="0"/>
      <w:divBdr>
        <w:top w:val="none" w:sz="0" w:space="0" w:color="auto"/>
        <w:left w:val="none" w:sz="0" w:space="0" w:color="auto"/>
        <w:bottom w:val="none" w:sz="0" w:space="0" w:color="auto"/>
        <w:right w:val="none" w:sz="0" w:space="0" w:color="auto"/>
      </w:divBdr>
    </w:div>
    <w:div w:id="940141871">
      <w:bodyDiv w:val="1"/>
      <w:marLeft w:val="0"/>
      <w:marRight w:val="0"/>
      <w:marTop w:val="0"/>
      <w:marBottom w:val="0"/>
      <w:divBdr>
        <w:top w:val="none" w:sz="0" w:space="0" w:color="auto"/>
        <w:left w:val="none" w:sz="0" w:space="0" w:color="auto"/>
        <w:bottom w:val="none" w:sz="0" w:space="0" w:color="auto"/>
        <w:right w:val="none" w:sz="0" w:space="0" w:color="auto"/>
      </w:divBdr>
    </w:div>
    <w:div w:id="1239286433">
      <w:bodyDiv w:val="1"/>
      <w:marLeft w:val="0"/>
      <w:marRight w:val="0"/>
      <w:marTop w:val="0"/>
      <w:marBottom w:val="0"/>
      <w:divBdr>
        <w:top w:val="none" w:sz="0" w:space="0" w:color="auto"/>
        <w:left w:val="none" w:sz="0" w:space="0" w:color="auto"/>
        <w:bottom w:val="none" w:sz="0" w:space="0" w:color="auto"/>
        <w:right w:val="none" w:sz="0" w:space="0" w:color="auto"/>
      </w:divBdr>
      <w:divsChild>
        <w:div w:id="1040858635">
          <w:marLeft w:val="0"/>
          <w:marRight w:val="0"/>
          <w:marTop w:val="0"/>
          <w:marBottom w:val="0"/>
          <w:divBdr>
            <w:top w:val="none" w:sz="0" w:space="0" w:color="auto"/>
            <w:left w:val="none" w:sz="0" w:space="0" w:color="auto"/>
            <w:bottom w:val="none" w:sz="0" w:space="0" w:color="auto"/>
            <w:right w:val="none" w:sz="0" w:space="0" w:color="auto"/>
          </w:divBdr>
        </w:div>
      </w:divsChild>
    </w:div>
    <w:div w:id="1384909147">
      <w:bodyDiv w:val="1"/>
      <w:marLeft w:val="0"/>
      <w:marRight w:val="0"/>
      <w:marTop w:val="0"/>
      <w:marBottom w:val="0"/>
      <w:divBdr>
        <w:top w:val="none" w:sz="0" w:space="0" w:color="auto"/>
        <w:left w:val="none" w:sz="0" w:space="0" w:color="auto"/>
        <w:bottom w:val="none" w:sz="0" w:space="0" w:color="auto"/>
        <w:right w:val="none" w:sz="0" w:space="0" w:color="auto"/>
      </w:divBdr>
      <w:divsChild>
        <w:div w:id="382212560">
          <w:marLeft w:val="0"/>
          <w:marRight w:val="0"/>
          <w:marTop w:val="0"/>
          <w:marBottom w:val="0"/>
          <w:divBdr>
            <w:top w:val="none" w:sz="0" w:space="0" w:color="auto"/>
            <w:left w:val="none" w:sz="0" w:space="0" w:color="auto"/>
            <w:bottom w:val="none" w:sz="0" w:space="0" w:color="auto"/>
            <w:right w:val="none" w:sz="0" w:space="0" w:color="auto"/>
          </w:divBdr>
        </w:div>
      </w:divsChild>
    </w:div>
    <w:div w:id="1643659832">
      <w:bodyDiv w:val="1"/>
      <w:marLeft w:val="0"/>
      <w:marRight w:val="0"/>
      <w:marTop w:val="0"/>
      <w:marBottom w:val="0"/>
      <w:divBdr>
        <w:top w:val="none" w:sz="0" w:space="0" w:color="auto"/>
        <w:left w:val="none" w:sz="0" w:space="0" w:color="auto"/>
        <w:bottom w:val="none" w:sz="0" w:space="0" w:color="auto"/>
        <w:right w:val="none" w:sz="0" w:space="0" w:color="auto"/>
      </w:divBdr>
      <w:divsChild>
        <w:div w:id="512303062">
          <w:marLeft w:val="0"/>
          <w:marRight w:val="0"/>
          <w:marTop w:val="0"/>
          <w:marBottom w:val="0"/>
          <w:divBdr>
            <w:top w:val="none" w:sz="0" w:space="0" w:color="auto"/>
            <w:left w:val="none" w:sz="0" w:space="0" w:color="auto"/>
            <w:bottom w:val="none" w:sz="0" w:space="0" w:color="auto"/>
            <w:right w:val="none" w:sz="0" w:space="0" w:color="auto"/>
          </w:divBdr>
        </w:div>
      </w:divsChild>
    </w:div>
    <w:div w:id="1830289654">
      <w:bodyDiv w:val="1"/>
      <w:marLeft w:val="0"/>
      <w:marRight w:val="0"/>
      <w:marTop w:val="0"/>
      <w:marBottom w:val="0"/>
      <w:divBdr>
        <w:top w:val="none" w:sz="0" w:space="0" w:color="auto"/>
        <w:left w:val="none" w:sz="0" w:space="0" w:color="auto"/>
        <w:bottom w:val="none" w:sz="0" w:space="0" w:color="auto"/>
        <w:right w:val="none" w:sz="0" w:space="0" w:color="auto"/>
      </w:divBdr>
    </w:div>
    <w:div w:id="1874342463">
      <w:bodyDiv w:val="1"/>
      <w:marLeft w:val="0"/>
      <w:marRight w:val="0"/>
      <w:marTop w:val="0"/>
      <w:marBottom w:val="0"/>
      <w:divBdr>
        <w:top w:val="none" w:sz="0" w:space="0" w:color="auto"/>
        <w:left w:val="none" w:sz="0" w:space="0" w:color="auto"/>
        <w:bottom w:val="none" w:sz="0" w:space="0" w:color="auto"/>
        <w:right w:val="none" w:sz="0" w:space="0" w:color="auto"/>
      </w:divBdr>
    </w:div>
    <w:div w:id="1971394363">
      <w:bodyDiv w:val="1"/>
      <w:marLeft w:val="0"/>
      <w:marRight w:val="0"/>
      <w:marTop w:val="0"/>
      <w:marBottom w:val="0"/>
      <w:divBdr>
        <w:top w:val="none" w:sz="0" w:space="0" w:color="auto"/>
        <w:left w:val="none" w:sz="0" w:space="0" w:color="auto"/>
        <w:bottom w:val="none" w:sz="0" w:space="0" w:color="auto"/>
        <w:right w:val="none" w:sz="0" w:space="0" w:color="auto"/>
      </w:divBdr>
    </w:div>
    <w:div w:id="2054963373">
      <w:bodyDiv w:val="1"/>
      <w:marLeft w:val="0"/>
      <w:marRight w:val="0"/>
      <w:marTop w:val="0"/>
      <w:marBottom w:val="0"/>
      <w:divBdr>
        <w:top w:val="none" w:sz="0" w:space="0" w:color="auto"/>
        <w:left w:val="none" w:sz="0" w:space="0" w:color="auto"/>
        <w:bottom w:val="none" w:sz="0" w:space="0" w:color="auto"/>
        <w:right w:val="none" w:sz="0" w:space="0" w:color="auto"/>
      </w:divBdr>
      <w:divsChild>
        <w:div w:id="1586913060">
          <w:marLeft w:val="0"/>
          <w:marRight w:val="0"/>
          <w:marTop w:val="300"/>
          <w:marBottom w:val="0"/>
          <w:divBdr>
            <w:top w:val="none" w:sz="0" w:space="0" w:color="auto"/>
            <w:left w:val="none" w:sz="0" w:space="0" w:color="auto"/>
            <w:bottom w:val="none" w:sz="0" w:space="0" w:color="auto"/>
            <w:right w:val="none" w:sz="0" w:space="0" w:color="auto"/>
          </w:divBdr>
        </w:div>
      </w:divsChild>
    </w:div>
    <w:div w:id="2061204336">
      <w:bodyDiv w:val="1"/>
      <w:marLeft w:val="0"/>
      <w:marRight w:val="0"/>
      <w:marTop w:val="0"/>
      <w:marBottom w:val="0"/>
      <w:divBdr>
        <w:top w:val="none" w:sz="0" w:space="0" w:color="auto"/>
        <w:left w:val="none" w:sz="0" w:space="0" w:color="auto"/>
        <w:bottom w:val="none" w:sz="0" w:space="0" w:color="auto"/>
        <w:right w:val="none" w:sz="0" w:space="0" w:color="auto"/>
      </w:divBdr>
      <w:divsChild>
        <w:div w:id="1600865375">
          <w:marLeft w:val="0"/>
          <w:marRight w:val="0"/>
          <w:marTop w:val="0"/>
          <w:marBottom w:val="0"/>
          <w:divBdr>
            <w:top w:val="none" w:sz="0" w:space="0" w:color="auto"/>
            <w:left w:val="none" w:sz="0" w:space="0" w:color="auto"/>
            <w:bottom w:val="none" w:sz="0" w:space="0" w:color="auto"/>
            <w:right w:val="none" w:sz="0" w:space="0" w:color="auto"/>
          </w:divBdr>
        </w:div>
      </w:divsChild>
    </w:div>
    <w:div w:id="2070110023">
      <w:bodyDiv w:val="1"/>
      <w:marLeft w:val="0"/>
      <w:marRight w:val="0"/>
      <w:marTop w:val="0"/>
      <w:marBottom w:val="0"/>
      <w:divBdr>
        <w:top w:val="none" w:sz="0" w:space="0" w:color="auto"/>
        <w:left w:val="none" w:sz="0" w:space="0" w:color="auto"/>
        <w:bottom w:val="none" w:sz="0" w:space="0" w:color="auto"/>
        <w:right w:val="none" w:sz="0" w:space="0" w:color="auto"/>
      </w:divBdr>
    </w:div>
    <w:div w:id="2070423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mclick.ru/ipoteka/programs/gos" TargetMode="External"/><Relationship Id="rId13" Type="http://schemas.openxmlformats.org/officeDocument/2006/relationships/hyperlink" Target="https://domclick.ru/ipoteka/programs/gos?from=blog&amp;utm_referrer=https%3A%2F%2Fblog.domclick.ru%2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hyperlink" Target="https://domclick.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berbank.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mclick.ru/ipoteka/programs/gosChildren?from=blo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berbank.com/" TargetMode="External"/><Relationship Id="rId23" Type="http://schemas.openxmlformats.org/officeDocument/2006/relationships/footer" Target="footer3.xml"/><Relationship Id="rId10" Type="http://schemas.openxmlformats.org/officeDocument/2006/relationships/hyperlink" Target="https://domclick.ru/ipoteka/programs/gos?from=blog&amp;utm_referrer=https%3A%2F%2Fblog.domclick.ru%2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domclick.ru/ipoteka/programs/gosChildren?from=blo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C62D07441D13740AA6CAED2C2FCEECA6.dms.sberbank.ru/C62D07441D13740AA6CAED2C2FCEECA6-3FEB2D8C46FD5F66EAE6F3C47F202E81-7E8C18831E1A4D0DB3FDF355F4431276/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4598</Characters>
  <Application>Microsoft Office Word</Application>
  <DocSecurity>0</DocSecurity>
  <Lines>90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Khvostov Aleksey</dc:creator>
  <cp:lastModifiedBy>Клымык Виктория Олеговна</cp:lastModifiedBy>
  <cp:revision>3</cp:revision>
  <dcterms:created xsi:type="dcterms:W3CDTF">2022-12-14T06:29:00Z</dcterms:created>
  <dcterms:modified xsi:type="dcterms:W3CDTF">2022-12-14T06:30:00Z</dcterms:modified>
</cp:coreProperties>
</file>